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93" w:rsidRDefault="00185A9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185A93" w:rsidRDefault="00185A93">
      <w:pPr>
        <w:widowControl w:val="0"/>
        <w:autoSpaceDE w:val="0"/>
        <w:autoSpaceDN w:val="0"/>
        <w:adjustRightInd w:val="0"/>
        <w:spacing w:after="0" w:line="240" w:lineRule="auto"/>
        <w:jc w:val="both"/>
        <w:outlineLvl w:val="0"/>
        <w:rPr>
          <w:rFonts w:ascii="Calibri" w:hAnsi="Calibri" w:cs="Calibri"/>
        </w:rPr>
      </w:pPr>
    </w:p>
    <w:p w:rsidR="00185A93" w:rsidRDefault="00185A93">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ФИНАНСОВ РОССИЙСКОЙ ФЕДЕРАЦИИ</w:t>
      </w:r>
    </w:p>
    <w:p w:rsidR="00185A93" w:rsidRDefault="00185A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N 02-02-04/67438</w:t>
      </w:r>
    </w:p>
    <w:p w:rsidR="00185A93" w:rsidRDefault="00185A93">
      <w:pPr>
        <w:widowControl w:val="0"/>
        <w:autoSpaceDE w:val="0"/>
        <w:autoSpaceDN w:val="0"/>
        <w:adjustRightInd w:val="0"/>
        <w:spacing w:after="0" w:line="240" w:lineRule="auto"/>
        <w:jc w:val="center"/>
        <w:rPr>
          <w:rFonts w:ascii="Calibri" w:hAnsi="Calibri" w:cs="Calibri"/>
          <w:b/>
          <w:bCs/>
        </w:rPr>
      </w:pPr>
    </w:p>
    <w:p w:rsidR="00185A93" w:rsidRDefault="00185A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ФЕДЕРАЛЬНОЕ КАЗНАЧЕЙСТВО</w:t>
      </w:r>
    </w:p>
    <w:p w:rsidR="00185A93" w:rsidRDefault="00185A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N 42-7.4-05/5.1-805</w:t>
      </w:r>
    </w:p>
    <w:p w:rsidR="00185A93" w:rsidRDefault="00185A93">
      <w:pPr>
        <w:widowControl w:val="0"/>
        <w:autoSpaceDE w:val="0"/>
        <w:autoSpaceDN w:val="0"/>
        <w:adjustRightInd w:val="0"/>
        <w:spacing w:after="0" w:line="240" w:lineRule="auto"/>
        <w:jc w:val="center"/>
        <w:rPr>
          <w:rFonts w:ascii="Calibri" w:hAnsi="Calibri" w:cs="Calibri"/>
          <w:b/>
          <w:bCs/>
        </w:rPr>
      </w:pPr>
    </w:p>
    <w:p w:rsidR="00185A93" w:rsidRDefault="00185A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185A93" w:rsidRDefault="00185A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декабря 2014 года</w:t>
      </w:r>
    </w:p>
    <w:p w:rsidR="00185A93" w:rsidRDefault="00185A93">
      <w:pPr>
        <w:widowControl w:val="0"/>
        <w:autoSpaceDE w:val="0"/>
        <w:autoSpaceDN w:val="0"/>
        <w:adjustRightInd w:val="0"/>
        <w:spacing w:after="0" w:line="240" w:lineRule="auto"/>
        <w:jc w:val="center"/>
        <w:rPr>
          <w:rFonts w:ascii="Calibri" w:hAnsi="Calibri" w:cs="Calibri"/>
          <w:b/>
          <w:bCs/>
        </w:rPr>
      </w:pPr>
    </w:p>
    <w:p w:rsidR="00185A93" w:rsidRDefault="00185A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ИСПОЛЬЗОВАНИИ</w:t>
      </w:r>
    </w:p>
    <w:p w:rsidR="00185A93" w:rsidRDefault="00185A93">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ПРЕДОСТАВЛЕННОГО</w:t>
      </w:r>
      <w:proofErr w:type="gramEnd"/>
      <w:r>
        <w:rPr>
          <w:rFonts w:ascii="Calibri" w:hAnsi="Calibri" w:cs="Calibri"/>
          <w:b/>
          <w:bCs/>
        </w:rPr>
        <w:t xml:space="preserve"> ПОСТАВЩИКОМ (ПОДРЯДЧИКОМ, ИСПОЛНИТЕЛЕМ)</w:t>
      </w:r>
    </w:p>
    <w:p w:rsidR="00185A93" w:rsidRDefault="00185A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ИСПОЛНЕНИЯ КОНТРАКТА В СВЯЗИ С НЕИСПОЛНЕНИЕМ</w:t>
      </w:r>
    </w:p>
    <w:p w:rsidR="00185A93" w:rsidRDefault="00185A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ОБЯЗАТЕЛЬСТВ, СВЯЗАННЫХ С ВОЗВРАТОМ АВАНСА</w:t>
      </w:r>
    </w:p>
    <w:p w:rsidR="00185A93" w:rsidRDefault="00185A93">
      <w:pPr>
        <w:widowControl w:val="0"/>
        <w:autoSpaceDE w:val="0"/>
        <w:autoSpaceDN w:val="0"/>
        <w:adjustRightInd w:val="0"/>
        <w:spacing w:after="0" w:line="240" w:lineRule="auto"/>
        <w:ind w:firstLine="540"/>
        <w:jc w:val="both"/>
        <w:rPr>
          <w:rFonts w:ascii="Calibri" w:hAnsi="Calibri" w:cs="Calibri"/>
        </w:rPr>
      </w:pPr>
    </w:p>
    <w:p w:rsidR="00185A93" w:rsidRDefault="00185A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Министерство финансов Российской Федерации и Федеральное казначейство в связи с поступающими вопросами о порядке учета денежных средств, удержанных в случае неисполнения поставщиком (подрядчиком, исполнителем) обязательств, связанных с возвратом аванса, из средств, внесенных поставщиком (подрядчиком, исполнителем) в обеспечение исполнения контракта, или уплаченных кредитной организацией по банковской гарантии (далее - суммы удержанного обеспечения), сообщают следующее.</w:t>
      </w:r>
      <w:proofErr w:type="gramEnd"/>
    </w:p>
    <w:p w:rsidR="00185A93" w:rsidRDefault="00185A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6" w:history="1">
        <w:r>
          <w:rPr>
            <w:rFonts w:ascii="Calibri" w:hAnsi="Calibri" w:cs="Calibri"/>
            <w:color w:val="0000FF"/>
          </w:rPr>
          <w:t>частью 3 статьи 96</w:t>
        </w:r>
      </w:hyperlink>
      <w:r>
        <w:rPr>
          <w:rFonts w:ascii="Calibri" w:hAnsi="Calibri" w:cs="Calibri"/>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исполнение контракта может обеспечиваться предоставлением банковской гарантии, соответствующей требованиям </w:t>
      </w:r>
      <w:hyperlink r:id="rId7" w:history="1">
        <w:r>
          <w:rPr>
            <w:rFonts w:ascii="Calibri" w:hAnsi="Calibri" w:cs="Calibri"/>
            <w:color w:val="0000FF"/>
          </w:rPr>
          <w:t>статьи 45</w:t>
        </w:r>
      </w:hyperlink>
      <w:r>
        <w:rPr>
          <w:rFonts w:ascii="Calibri" w:hAnsi="Calibri" w:cs="Calibri"/>
        </w:rPr>
        <w:t xml:space="preserve"> Федерального закона N 44-ФЗ, или внесением денежных средств на указанный заказчиком счет, на котором в соответствии</w:t>
      </w:r>
      <w:proofErr w:type="gramEnd"/>
      <w:r>
        <w:rPr>
          <w:rFonts w:ascii="Calibri" w:hAnsi="Calibri" w:cs="Calibri"/>
        </w:rPr>
        <w:t xml:space="preserve"> с законодательством Российской Федерации учитываются операции со средствами, поступающими заказчику.</w:t>
      </w:r>
    </w:p>
    <w:p w:rsidR="00185A93" w:rsidRDefault="00185A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в соответствии с условиями контракта поставщик (подрядчик, исполнитель) предоставлял обеспечение обязательства по возврату аванса, то в случае нарушения им обязательств по возврату аванса, в обеспечение исполнения которых предоставлены денежные средства или банковская гарантия, указанное обеспечение удерживается заказчиком согласно условиям контракта или в отношении указанного обеспечения направляется требование об уплате денежных средств в соответствии с Гражданским </w:t>
      </w:r>
      <w:hyperlink r:id="rId8" w:history="1">
        <w:r>
          <w:rPr>
            <w:rFonts w:ascii="Calibri" w:hAnsi="Calibri" w:cs="Calibri"/>
            <w:color w:val="0000FF"/>
          </w:rPr>
          <w:t>кодексом</w:t>
        </w:r>
      </w:hyperlink>
      <w:r>
        <w:rPr>
          <w:rFonts w:ascii="Calibri" w:hAnsi="Calibri" w:cs="Calibri"/>
        </w:rPr>
        <w:t xml:space="preserve"> Российской Федерации (далее</w:t>
      </w:r>
      <w:proofErr w:type="gramEnd"/>
      <w:r>
        <w:rPr>
          <w:rFonts w:ascii="Calibri" w:hAnsi="Calibri" w:cs="Calibri"/>
        </w:rPr>
        <w:t xml:space="preserve"> - </w:t>
      </w:r>
      <w:proofErr w:type="gramStart"/>
      <w:r>
        <w:rPr>
          <w:rFonts w:ascii="Calibri" w:hAnsi="Calibri" w:cs="Calibri"/>
        </w:rPr>
        <w:t>Гражданский кодекс).</w:t>
      </w:r>
      <w:proofErr w:type="gramEnd"/>
      <w:r>
        <w:rPr>
          <w:rFonts w:ascii="Calibri" w:hAnsi="Calibri" w:cs="Calibri"/>
        </w:rPr>
        <w:t xml:space="preserve"> При этом заказчик вправе направить удержанное обеспечение на исполнение данного контракта либо, в случае расторжения ранее заключенного контракта, на заключение нового контракта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85A93" w:rsidRDefault="00185A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Обращаем внимание, что в соответствии с условиями контракта поставщиком (исполнителем, подрядчиком) может предусматриваться наряду с обеспечением возврата аванса обеспечение уплаты неустойки, в том числе штрафной неустойки. </w:t>
      </w:r>
      <w:proofErr w:type="gramStart"/>
      <w:r>
        <w:rPr>
          <w:rFonts w:ascii="Calibri" w:hAnsi="Calibri" w:cs="Calibri"/>
        </w:rPr>
        <w:t xml:space="preserve">В указанном случае, если предоставленного поставщиком (исполнителем, подрядчиком) обеспечения исполнения обязательств недостаточно для погашения требований по возврату аванса и уплате неустойки, то решение об очередности погашения требований принимается заказчиком самостоятельно, поскольку согласно позиции Конституционного Суда Российской Федерации, Президиума ВАС России положения </w:t>
      </w:r>
      <w:hyperlink r:id="rId9" w:history="1">
        <w:r>
          <w:rPr>
            <w:rFonts w:ascii="Calibri" w:hAnsi="Calibri" w:cs="Calibri"/>
            <w:color w:val="0000FF"/>
          </w:rPr>
          <w:t>статьи 319</w:t>
        </w:r>
      </w:hyperlink>
      <w:r>
        <w:rPr>
          <w:rFonts w:ascii="Calibri" w:hAnsi="Calibri" w:cs="Calibri"/>
        </w:rPr>
        <w:t xml:space="preserve"> Гражданского кодекса не распространяются на требования об уплате процентов за пользование чужими денежными средствами, неустойки и о</w:t>
      </w:r>
      <w:proofErr w:type="gramEnd"/>
      <w:r>
        <w:rPr>
          <w:rFonts w:ascii="Calibri" w:hAnsi="Calibri" w:cs="Calibri"/>
        </w:rPr>
        <w:t xml:space="preserve"> </w:t>
      </w:r>
      <w:proofErr w:type="gramStart"/>
      <w:r>
        <w:rPr>
          <w:rFonts w:ascii="Calibri" w:hAnsi="Calibri" w:cs="Calibri"/>
        </w:rPr>
        <w:t>возмещении</w:t>
      </w:r>
      <w:proofErr w:type="gramEnd"/>
      <w:r>
        <w:rPr>
          <w:rFonts w:ascii="Calibri" w:hAnsi="Calibri" w:cs="Calibri"/>
        </w:rPr>
        <w:t xml:space="preserve"> убытков (</w:t>
      </w:r>
      <w:hyperlink r:id="rId10" w:history="1">
        <w:r>
          <w:rPr>
            <w:rFonts w:ascii="Calibri" w:hAnsi="Calibri" w:cs="Calibri"/>
            <w:color w:val="0000FF"/>
          </w:rPr>
          <w:t>Определение</w:t>
        </w:r>
      </w:hyperlink>
      <w:r>
        <w:rPr>
          <w:rFonts w:ascii="Calibri" w:hAnsi="Calibri" w:cs="Calibri"/>
        </w:rPr>
        <w:t xml:space="preserve"> Конституционного Суда РФ от 21.06.2011 N 854-О-О, </w:t>
      </w:r>
      <w:hyperlink r:id="rId11" w:history="1">
        <w:r>
          <w:rPr>
            <w:rFonts w:ascii="Calibri" w:hAnsi="Calibri" w:cs="Calibri"/>
            <w:color w:val="0000FF"/>
          </w:rPr>
          <w:t>пункт 2</w:t>
        </w:r>
      </w:hyperlink>
      <w:r>
        <w:rPr>
          <w:rFonts w:ascii="Calibri" w:hAnsi="Calibri" w:cs="Calibri"/>
        </w:rPr>
        <w:t xml:space="preserve"> информационного письма Президиума ВАС РФ от 20.10.2010 N 141).</w:t>
      </w:r>
    </w:p>
    <w:p w:rsidR="00185A93" w:rsidRDefault="00185A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Суммы удержанного обеспечения в случае неисполнения поставщиком (подрядчиком, исполнителем) обязательств по возврату аванса в размере предоставленного аванса (а также </w:t>
      </w:r>
      <w:r>
        <w:rPr>
          <w:rFonts w:ascii="Calibri" w:hAnsi="Calibri" w:cs="Calibri"/>
        </w:rPr>
        <w:lastRenderedPageBreak/>
        <w:t>процентов за пользование чужими денежными средствами, в случаях, если контрактом предусматривалось обеспечение указанного обязательства) учитываются с учетом следующих положений бюджетного законодательства Российской Федерации:</w:t>
      </w:r>
    </w:p>
    <w:p w:rsidR="00185A93" w:rsidRDefault="00185A93">
      <w:pPr>
        <w:widowControl w:val="0"/>
        <w:autoSpaceDE w:val="0"/>
        <w:autoSpaceDN w:val="0"/>
        <w:adjustRightInd w:val="0"/>
        <w:spacing w:after="0" w:line="240" w:lineRule="auto"/>
        <w:ind w:firstLine="540"/>
        <w:jc w:val="both"/>
        <w:rPr>
          <w:rFonts w:ascii="Calibri" w:hAnsi="Calibri" w:cs="Calibri"/>
        </w:rPr>
      </w:pPr>
      <w:bookmarkStart w:id="1" w:name="Par20"/>
      <w:bookmarkEnd w:id="1"/>
      <w:r>
        <w:rPr>
          <w:rFonts w:ascii="Calibri" w:hAnsi="Calibri" w:cs="Calibri"/>
        </w:rPr>
        <w:t xml:space="preserve">1. </w:t>
      </w:r>
      <w:proofErr w:type="gramStart"/>
      <w:r>
        <w:rPr>
          <w:rFonts w:ascii="Calibri" w:hAnsi="Calibri" w:cs="Calibri"/>
        </w:rPr>
        <w:t>В случае, когда заказчиком по контракту является бюджетное или автономное учреждение, государственное или муниципальное унитарное предприятие, суммы удержанного обеспечения подлежат перечислению на соответствующий счет, на котором учитываются операции со средствами учреждения (предприятия), с которого осуществлялась оплата обязательств по контракту, и подлежат использованию учреждением (предприятием) для исполнения обязательства с уточнением плана финансово-хозяйственной деятельности государственного (муниципального) учреждения.</w:t>
      </w:r>
      <w:proofErr w:type="gramEnd"/>
    </w:p>
    <w:p w:rsidR="00185A93" w:rsidRDefault="00185A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удержанного обеспечения, поступившие в течение финансового года, в котором осуществлялась оплата обязательств по контракту, учитываются на соответствующем лицевом счете государственного (муниципального) учреждения, государственного или муниципального унитарного предприятия как восстановление кассового расхода.</w:t>
      </w:r>
    </w:p>
    <w:p w:rsidR="00185A93" w:rsidRDefault="00185A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оплата обязательств по контракту осуществлялась бюджетным или автономным учреждением с того же лицевого счета, на котором учитывались денежные средства, внесенные в качестве обеспечения исполнения контракта, удержание обеспечения исполнения контракта проводится учреждением как некассовая операция.</w:t>
      </w:r>
    </w:p>
    <w:p w:rsidR="00185A93" w:rsidRDefault="00185A93">
      <w:pPr>
        <w:widowControl w:val="0"/>
        <w:autoSpaceDE w:val="0"/>
        <w:autoSpaceDN w:val="0"/>
        <w:adjustRightInd w:val="0"/>
        <w:spacing w:after="0" w:line="240" w:lineRule="auto"/>
        <w:ind w:firstLine="540"/>
        <w:jc w:val="both"/>
        <w:rPr>
          <w:rFonts w:ascii="Calibri" w:hAnsi="Calibri" w:cs="Calibri"/>
        </w:rPr>
      </w:pPr>
      <w:bookmarkStart w:id="2" w:name="Par23"/>
      <w:bookmarkEnd w:id="2"/>
      <w:r>
        <w:rPr>
          <w:rFonts w:ascii="Calibri" w:hAnsi="Calibri" w:cs="Calibri"/>
        </w:rPr>
        <w:t>1.1. Суммы удержанного обеспечения, поступившие после завершения финансового года, если источником финансового обеспечения по контракту являлись средства от платных услуг или субсидия на финансовое обеспечение выполнения государственного (</w:t>
      </w:r>
      <w:proofErr w:type="gramStart"/>
      <w:r>
        <w:rPr>
          <w:rFonts w:ascii="Calibri" w:hAnsi="Calibri" w:cs="Calibri"/>
        </w:rPr>
        <w:t xml:space="preserve">муниципального) </w:t>
      </w:r>
      <w:proofErr w:type="gramEnd"/>
      <w:r>
        <w:rPr>
          <w:rFonts w:ascii="Calibri" w:hAnsi="Calibri" w:cs="Calibri"/>
        </w:rPr>
        <w:t xml:space="preserve">задания, учитываются на лицевом счете бюджетного (автономного) учреждения и отражаются в плане финансово-хозяйственной деятельности государственного (муниципального) учреждения, как суммы дебиторской задолженности прошлых лет, возникшие в связи с нарушением обязательств, связанных с исполнением контракта по коду статьи 130 "Доходы от оказания платных услуг (работ)" классификации операций сектора государственного управления, предусмотренному </w:t>
      </w:r>
      <w:hyperlink r:id="rId12" w:history="1">
        <w:r>
          <w:rPr>
            <w:rFonts w:ascii="Calibri" w:hAnsi="Calibri" w:cs="Calibri"/>
            <w:color w:val="0000FF"/>
          </w:rPr>
          <w:t>Указаниями</w:t>
        </w:r>
      </w:hyperlink>
      <w:r>
        <w:rPr>
          <w:rFonts w:ascii="Calibri" w:hAnsi="Calibri" w:cs="Calibri"/>
        </w:rP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01.07.2013 N 65н (далее - Указания).</w:t>
      </w:r>
    </w:p>
    <w:p w:rsidR="00185A93" w:rsidRDefault="00185A93">
      <w:pPr>
        <w:widowControl w:val="0"/>
        <w:autoSpaceDE w:val="0"/>
        <w:autoSpaceDN w:val="0"/>
        <w:adjustRightInd w:val="0"/>
        <w:spacing w:after="0" w:line="240" w:lineRule="auto"/>
        <w:ind w:firstLine="540"/>
        <w:jc w:val="both"/>
        <w:rPr>
          <w:rFonts w:ascii="Calibri" w:hAnsi="Calibri" w:cs="Calibri"/>
        </w:rPr>
      </w:pPr>
      <w:bookmarkStart w:id="3" w:name="Par24"/>
      <w:bookmarkEnd w:id="3"/>
      <w:proofErr w:type="gramStart"/>
      <w:r>
        <w:rPr>
          <w:rFonts w:ascii="Calibri" w:hAnsi="Calibri" w:cs="Calibri"/>
        </w:rPr>
        <w:t xml:space="preserve">Если источником финансового обеспечения по контракту являлись субсидии, предоставленные в соответствии с </w:t>
      </w:r>
      <w:hyperlink r:id="rId13" w:history="1">
        <w:r>
          <w:rPr>
            <w:rFonts w:ascii="Calibri" w:hAnsi="Calibri" w:cs="Calibri"/>
            <w:color w:val="0000FF"/>
          </w:rPr>
          <w:t>абзацем вторым пункта 1 статьи 78.1</w:t>
        </w:r>
      </w:hyperlink>
      <w:r>
        <w:rPr>
          <w:rFonts w:ascii="Calibri" w:hAnsi="Calibri" w:cs="Calibri"/>
        </w:rPr>
        <w:t xml:space="preserve"> или </w:t>
      </w:r>
      <w:hyperlink r:id="rId14" w:history="1">
        <w:r>
          <w:rPr>
            <w:rFonts w:ascii="Calibri" w:hAnsi="Calibri" w:cs="Calibri"/>
            <w:color w:val="0000FF"/>
          </w:rPr>
          <w:t>статьей 78.2</w:t>
        </w:r>
      </w:hyperlink>
      <w:r>
        <w:rPr>
          <w:rFonts w:ascii="Calibri" w:hAnsi="Calibri" w:cs="Calibri"/>
        </w:rPr>
        <w:t xml:space="preserve"> Бюджетного кодекса Российской Федерации (далее - Бюджетный кодекс), то суммы удержанного обеспечения учитываются без права расходования на соответствующем лицевом счете бюджетного (автономного) учреждения, государственного и муниципального унитарного предприятия до предоставления учреждением, предприятием Сведений об операциях с целевыми субсидиями, предоставленными государственному</w:t>
      </w:r>
      <w:proofErr w:type="gramEnd"/>
      <w:r>
        <w:rPr>
          <w:rFonts w:ascii="Calibri" w:hAnsi="Calibri" w:cs="Calibri"/>
        </w:rPr>
        <w:t xml:space="preserve"> (муниципальному) учреждению (</w:t>
      </w:r>
      <w:hyperlink r:id="rId15" w:history="1">
        <w:r>
          <w:rPr>
            <w:rFonts w:ascii="Calibri" w:hAnsi="Calibri" w:cs="Calibri"/>
            <w:color w:val="0000FF"/>
          </w:rPr>
          <w:t>Приложение</w:t>
        </w:r>
      </w:hyperlink>
      <w:r>
        <w:rPr>
          <w:rFonts w:ascii="Calibri" w:hAnsi="Calibri" w:cs="Calibri"/>
        </w:rPr>
        <w:t xml:space="preserve"> к Требованиям к плану финансово-хозяйственной деятельности государственного (муниципального) учреждения, утвержденным приказом Минфина России от 28.07.2010 N 81) (далее - Сведения). При этом в </w:t>
      </w:r>
      <w:hyperlink r:id="rId16" w:history="1">
        <w:r>
          <w:rPr>
            <w:rFonts w:ascii="Calibri" w:hAnsi="Calibri" w:cs="Calibri"/>
            <w:color w:val="0000FF"/>
          </w:rPr>
          <w:t>графах 6</w:t>
        </w:r>
      </w:hyperlink>
      <w:r>
        <w:rPr>
          <w:rFonts w:ascii="Calibri" w:hAnsi="Calibri" w:cs="Calibri"/>
        </w:rPr>
        <w:t xml:space="preserve"> - </w:t>
      </w:r>
      <w:hyperlink r:id="rId17" w:history="1">
        <w:r>
          <w:rPr>
            <w:rFonts w:ascii="Calibri" w:hAnsi="Calibri" w:cs="Calibri"/>
            <w:color w:val="0000FF"/>
          </w:rPr>
          <w:t>8</w:t>
        </w:r>
      </w:hyperlink>
      <w:r>
        <w:rPr>
          <w:rFonts w:ascii="Calibri" w:hAnsi="Calibri" w:cs="Calibri"/>
        </w:rPr>
        <w:t xml:space="preserve"> Сведений указывается информация о поступивших суммах удержанного обеспечения, а в </w:t>
      </w:r>
      <w:hyperlink r:id="rId18" w:history="1">
        <w:r>
          <w:rPr>
            <w:rFonts w:ascii="Calibri" w:hAnsi="Calibri" w:cs="Calibri"/>
            <w:color w:val="0000FF"/>
          </w:rPr>
          <w:t>графе 9</w:t>
        </w:r>
      </w:hyperlink>
      <w:r>
        <w:rPr>
          <w:rFonts w:ascii="Calibri" w:hAnsi="Calibri" w:cs="Calibri"/>
        </w:rPr>
        <w:t xml:space="preserve"> - планируемые расходы за счет указанных поступлений.</w:t>
      </w:r>
    </w:p>
    <w:p w:rsidR="00185A93" w:rsidRDefault="00185A93">
      <w:pPr>
        <w:widowControl w:val="0"/>
        <w:autoSpaceDE w:val="0"/>
        <w:autoSpaceDN w:val="0"/>
        <w:adjustRightInd w:val="0"/>
        <w:spacing w:after="0" w:line="240" w:lineRule="auto"/>
        <w:ind w:firstLine="540"/>
        <w:jc w:val="both"/>
        <w:rPr>
          <w:rFonts w:ascii="Calibri" w:hAnsi="Calibri" w:cs="Calibri"/>
        </w:rPr>
      </w:pPr>
      <w:bookmarkStart w:id="4" w:name="Par25"/>
      <w:bookmarkEnd w:id="4"/>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заказчиком по контракту является получатель средств бюджета, суммы удержанного обеспечения подлежат перечислению в доход бюджета публично-правового образования, для обеспечения нужд которого заключен государственный (муниципальный) контракт. Указанные поступления отражаются по коду классификации доходов бюджетов Российской Федерации (далее - КБК) 000 1 13 02000 00 0000 130 "Доходы от компенсации затрат государства" с применением соответствующих кодов подстатей, элементов и подвидов доходов бюджетов, установленных </w:t>
      </w:r>
      <w:hyperlink r:id="rId19" w:history="1">
        <w:r>
          <w:rPr>
            <w:rFonts w:ascii="Calibri" w:hAnsi="Calibri" w:cs="Calibri"/>
            <w:color w:val="0000FF"/>
          </w:rPr>
          <w:t>Указаниями</w:t>
        </w:r>
      </w:hyperlink>
      <w:r>
        <w:rPr>
          <w:rFonts w:ascii="Calibri" w:hAnsi="Calibri" w:cs="Calibri"/>
        </w:rPr>
        <w:t>.</w:t>
      </w:r>
    </w:p>
    <w:p w:rsidR="00185A93" w:rsidRDefault="00185A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суммы удержанного обеспечения поступили в течение финансового года, в котором осуществлялась оплата обязательств по контракту, при внесении изменений в закон (решение) о бюджете главному распорядителю бюджетных средств в пределах указанных поступлений на сумму, не превышающую размера суммы удержанного аванса, могут быть увеличены в установленном порядке бюджетные ассигнования на закупку товаров, работ, услуг для последующего доведения лимитов бюджетных обязательств получателю</w:t>
      </w:r>
      <w:proofErr w:type="gramEnd"/>
      <w:r>
        <w:rPr>
          <w:rFonts w:ascii="Calibri" w:hAnsi="Calibri" w:cs="Calibri"/>
        </w:rPr>
        <w:t xml:space="preserve"> бюджетных средств - </w:t>
      </w:r>
      <w:r>
        <w:rPr>
          <w:rFonts w:ascii="Calibri" w:hAnsi="Calibri" w:cs="Calibri"/>
        </w:rPr>
        <w:lastRenderedPageBreak/>
        <w:t>государственному (муниципальному) заказчику.</w:t>
      </w:r>
    </w:p>
    <w:p w:rsidR="00185A93" w:rsidRDefault="00185A93">
      <w:pPr>
        <w:widowControl w:val="0"/>
        <w:autoSpaceDE w:val="0"/>
        <w:autoSpaceDN w:val="0"/>
        <w:adjustRightInd w:val="0"/>
        <w:spacing w:after="0" w:line="240" w:lineRule="auto"/>
        <w:ind w:firstLine="540"/>
        <w:jc w:val="both"/>
        <w:rPr>
          <w:rFonts w:ascii="Calibri" w:hAnsi="Calibri" w:cs="Calibri"/>
        </w:rPr>
      </w:pPr>
      <w:bookmarkStart w:id="5" w:name="Par27"/>
      <w:bookmarkEnd w:id="5"/>
      <w:r>
        <w:rPr>
          <w:rFonts w:ascii="Calibri" w:hAnsi="Calibri" w:cs="Calibri"/>
        </w:rPr>
        <w:t xml:space="preserve">2.1. </w:t>
      </w:r>
      <w:proofErr w:type="gramStart"/>
      <w:r>
        <w:rPr>
          <w:rFonts w:ascii="Calibri" w:hAnsi="Calibri" w:cs="Calibri"/>
        </w:rPr>
        <w:t>Если суммы удержанного обеспечения поступили после завершения финансового года, в котором осуществлялась выплата аванса по контракту, главному распорядителю бюджетных средств могут быть увеличены бюджетные ассигнования на закупку товаров, работ, услуг на сумму, не превышающую размера обязательств, подлежавших исполнению в отчетном финансовом году, но не более суммы удержанного аванса, путем внесения изменений в сводную бюджетную роспись, если при исполнении бюджета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бюджетным законодательством предусмотрено увеличение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w:t>
      </w:r>
    </w:p>
    <w:p w:rsidR="00185A93" w:rsidRDefault="00185A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источником финансового обеспечения расходов получателя средств бюджета субъекта Российской Федерации (местного бюджета) на оплату контракта являлись средства целевых межбюджетных трансфертов, предоставленных из федерального бюджета (бюджета субъекта Российской Федерации), то отражение в учете сумм удержанного обеспечения осуществляется в следующем порядке.</w:t>
      </w:r>
    </w:p>
    <w:p w:rsidR="00185A93" w:rsidRDefault="00185A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Суммы удержанного обеспечения, поступившие в течение того же финансового года, в котором предоставлялись целевые межбюджетные трансферты, являющиеся источником финансового обеспечения исполнения контракта, учитываются в соответствии с положениями </w:t>
      </w:r>
      <w:hyperlink w:anchor="Par20" w:history="1">
        <w:r>
          <w:rPr>
            <w:rFonts w:ascii="Calibri" w:hAnsi="Calibri" w:cs="Calibri"/>
            <w:color w:val="0000FF"/>
          </w:rPr>
          <w:t>пункта 1</w:t>
        </w:r>
      </w:hyperlink>
      <w:r>
        <w:rPr>
          <w:rFonts w:ascii="Calibri" w:hAnsi="Calibri" w:cs="Calibri"/>
        </w:rPr>
        <w:t xml:space="preserve"> настоящего письма в случае, если заказчиком по контракту является бюджетное (автономное) учреждение, унитарное предприятие, или, в соответствии с </w:t>
      </w:r>
      <w:hyperlink w:anchor="Par25" w:history="1">
        <w:r>
          <w:rPr>
            <w:rFonts w:ascii="Calibri" w:hAnsi="Calibri" w:cs="Calibri"/>
            <w:color w:val="0000FF"/>
          </w:rPr>
          <w:t>пунктом 2</w:t>
        </w:r>
      </w:hyperlink>
      <w:r>
        <w:rPr>
          <w:rFonts w:ascii="Calibri" w:hAnsi="Calibri" w:cs="Calibri"/>
        </w:rPr>
        <w:t xml:space="preserve"> настоящего письма, в случае, если заказчиком по контракту является получатель средств</w:t>
      </w:r>
      <w:proofErr w:type="gramEnd"/>
      <w:r>
        <w:rPr>
          <w:rFonts w:ascii="Calibri" w:hAnsi="Calibri" w:cs="Calibri"/>
        </w:rPr>
        <w:t xml:space="preserve"> бюджета.</w:t>
      </w:r>
    </w:p>
    <w:p w:rsidR="00185A93" w:rsidRDefault="00185A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Суммы удержанного обеспечения, поступившие после завершения финансового года, в котором предоставлялись целевые межбюджетные трансферты, являющиеся источником финансового обеспечения исполнения контракта, заключенного государственным (муниципальным) заказчиком - получателем средств бюджета субъекта Российской Федерации (местного бюджета), подлежат возврату в доход бюджета, из которого были предоставлены целевые межбюджетные трансферты с указанием КБК 000 2 18 00000 00 0000 151 "Доходы бюджетов бюджетной системы Российской Федерации</w:t>
      </w:r>
      <w:proofErr w:type="gramEnd"/>
      <w:r>
        <w:rPr>
          <w:rFonts w:ascii="Calibri" w:hAnsi="Calibri" w:cs="Calibri"/>
        </w:rPr>
        <w:t xml:space="preserve">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с применением соответствующих кодов подстатей, элементов и подвидов доходов бюджетов, установленных </w:t>
      </w:r>
      <w:hyperlink r:id="rId20" w:history="1">
        <w:r>
          <w:rPr>
            <w:rFonts w:ascii="Calibri" w:hAnsi="Calibri" w:cs="Calibri"/>
            <w:color w:val="0000FF"/>
          </w:rPr>
          <w:t>Указаниями</w:t>
        </w:r>
      </w:hyperlink>
      <w:r>
        <w:rPr>
          <w:rFonts w:ascii="Calibri" w:hAnsi="Calibri" w:cs="Calibri"/>
        </w:rPr>
        <w:t>.</w:t>
      </w:r>
    </w:p>
    <w:p w:rsidR="00185A93" w:rsidRDefault="00185A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основании решения главного администратора доходов федерального бюджета (бюджета субъекта Российской Федерации) от возврата остатков целевых межбюджетных трансфертов о наличии потребности в направлении указанных остатков на те же цели, осуществляется их возврат в бюджет субъекта Российской Федерации (местный бюджет) с указанием КБК 000 2 19 00000 00 0000 000 "Возврат остатков субсидий, субвенций и иных межбюджетных трансфертов, имеющих целевое назначение</w:t>
      </w:r>
      <w:proofErr w:type="gramEnd"/>
      <w:r>
        <w:rPr>
          <w:rFonts w:ascii="Calibri" w:hAnsi="Calibri" w:cs="Calibri"/>
        </w:rPr>
        <w:t xml:space="preserve">, прошлых лет" с применением соответствующих кодов подстатей, элементов и подвидов доходов бюджетов, установленных </w:t>
      </w:r>
      <w:hyperlink r:id="rId21" w:history="1">
        <w:r>
          <w:rPr>
            <w:rFonts w:ascii="Calibri" w:hAnsi="Calibri" w:cs="Calibri"/>
            <w:color w:val="0000FF"/>
          </w:rPr>
          <w:t>Указаниями</w:t>
        </w:r>
      </w:hyperlink>
      <w:r>
        <w:rPr>
          <w:rFonts w:ascii="Calibri" w:hAnsi="Calibri" w:cs="Calibri"/>
        </w:rPr>
        <w:t>.</w:t>
      </w:r>
    </w:p>
    <w:p w:rsidR="00185A93" w:rsidRDefault="00185A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ассигнования главному распорядителю средств бюджета субъекта Российской Федерации (местного бюджета) на закупку товаров, работ, услуг подлежат увеличению на основании </w:t>
      </w:r>
      <w:hyperlink r:id="rId22" w:history="1">
        <w:r>
          <w:rPr>
            <w:rFonts w:ascii="Calibri" w:hAnsi="Calibri" w:cs="Calibri"/>
            <w:color w:val="0000FF"/>
          </w:rPr>
          <w:t>статьи 232</w:t>
        </w:r>
      </w:hyperlink>
      <w:r>
        <w:rPr>
          <w:rFonts w:ascii="Calibri" w:hAnsi="Calibri" w:cs="Calibri"/>
        </w:rPr>
        <w:t xml:space="preserve"> Бюджетного кодекса путем внесения соответствующих изменений в сводную бюджетную роспись либо при внесении изменений в закон (решение) о бюджете с учетом положений </w:t>
      </w:r>
      <w:hyperlink r:id="rId23" w:history="1">
        <w:r>
          <w:rPr>
            <w:rFonts w:ascii="Calibri" w:hAnsi="Calibri" w:cs="Calibri"/>
            <w:color w:val="0000FF"/>
          </w:rPr>
          <w:t>пункта 3 статьи 79.1</w:t>
        </w:r>
      </w:hyperlink>
      <w:r>
        <w:rPr>
          <w:rFonts w:ascii="Calibri" w:hAnsi="Calibri" w:cs="Calibri"/>
        </w:rPr>
        <w:t xml:space="preserve"> указанного Кодекса:</w:t>
      </w:r>
    </w:p>
    <w:p w:rsidR="00185A93" w:rsidRDefault="00185A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доведения лимитов бюджетных обязательств соответствующим получателям бюджетных средств - государственным (муниципальным) заказчикам в соответствии с </w:t>
      </w:r>
      <w:hyperlink w:anchor="Par27" w:history="1">
        <w:r>
          <w:rPr>
            <w:rFonts w:ascii="Calibri" w:hAnsi="Calibri" w:cs="Calibri"/>
            <w:color w:val="0000FF"/>
          </w:rPr>
          <w:t>пунктом 2.1</w:t>
        </w:r>
      </w:hyperlink>
      <w:r>
        <w:rPr>
          <w:rFonts w:ascii="Calibri" w:hAnsi="Calibri" w:cs="Calibri"/>
        </w:rPr>
        <w:t xml:space="preserve"> настоящего письма;</w:t>
      </w:r>
    </w:p>
    <w:p w:rsidR="00185A93" w:rsidRDefault="00185A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использования заказчиком - бюджетным (автономным) учреждением в соответствии с </w:t>
      </w:r>
      <w:hyperlink w:anchor="Par23" w:history="1">
        <w:r>
          <w:rPr>
            <w:rFonts w:ascii="Calibri" w:hAnsi="Calibri" w:cs="Calibri"/>
            <w:color w:val="0000FF"/>
          </w:rPr>
          <w:t>абзацем первым пункта 1.1</w:t>
        </w:r>
      </w:hyperlink>
      <w:r>
        <w:rPr>
          <w:rFonts w:ascii="Calibri" w:hAnsi="Calibri" w:cs="Calibri"/>
        </w:rPr>
        <w:t xml:space="preserve"> настоящего письма;</w:t>
      </w:r>
    </w:p>
    <w:p w:rsidR="00185A93" w:rsidRDefault="00185A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использования заказчиком - бюджетным (автономным) учреждением, государственным (муниципальным) унитарным предприятием в соответствии с </w:t>
      </w:r>
      <w:hyperlink w:anchor="Par24" w:history="1">
        <w:r>
          <w:rPr>
            <w:rFonts w:ascii="Calibri" w:hAnsi="Calibri" w:cs="Calibri"/>
            <w:color w:val="0000FF"/>
          </w:rPr>
          <w:t>абзацем вторым пункта 1.1</w:t>
        </w:r>
      </w:hyperlink>
      <w:r>
        <w:rPr>
          <w:rFonts w:ascii="Calibri" w:hAnsi="Calibri" w:cs="Calibri"/>
        </w:rPr>
        <w:t xml:space="preserve"> настоящего письма.</w:t>
      </w:r>
    </w:p>
    <w:p w:rsidR="00185A93" w:rsidRDefault="00185A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контракт был заключен бюджетным (автономным) учреждением за счет субсидии на выполнение государственного (муниципального) задания, источником финансового обеспечения по предоставлению которой являлись средства целевых межбюджетных трансфертов, то суммы </w:t>
      </w:r>
      <w:r>
        <w:rPr>
          <w:rFonts w:ascii="Calibri" w:hAnsi="Calibri" w:cs="Calibri"/>
        </w:rPr>
        <w:lastRenderedPageBreak/>
        <w:t xml:space="preserve">удержанного обеспечения учитываются в соответствии с </w:t>
      </w:r>
      <w:hyperlink w:anchor="Par23" w:history="1">
        <w:r>
          <w:rPr>
            <w:rFonts w:ascii="Calibri" w:hAnsi="Calibri" w:cs="Calibri"/>
            <w:color w:val="0000FF"/>
          </w:rPr>
          <w:t>пунктом 1.1</w:t>
        </w:r>
      </w:hyperlink>
      <w:r>
        <w:rPr>
          <w:rFonts w:ascii="Calibri" w:hAnsi="Calibri" w:cs="Calibri"/>
        </w:rPr>
        <w:t xml:space="preserve"> настоящего письма.</w:t>
      </w:r>
    </w:p>
    <w:p w:rsidR="00185A93" w:rsidRDefault="00185A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сумм удержанного обеспечения по контрактам, заключенным в целях осуществления капитальных вложений, должно осуществляться с соблюдением положений бюджетного законодательства Российской Федерации, регулирующих правила осуществления указанных вложений.</w:t>
      </w:r>
    </w:p>
    <w:p w:rsidR="00185A93" w:rsidRDefault="00185A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Отражение в случае ненадлежащего исполнения поставщиком (подрядчиком, исполнителем) обязательств по возврату аванса указанных операций в бухгалтерском (бюджетном) учете приведено в </w:t>
      </w:r>
      <w:hyperlink w:anchor="Par51" w:history="1">
        <w:r>
          <w:rPr>
            <w:rFonts w:ascii="Calibri" w:hAnsi="Calibri" w:cs="Calibri"/>
            <w:color w:val="0000FF"/>
          </w:rPr>
          <w:t>приложении</w:t>
        </w:r>
      </w:hyperlink>
      <w:r>
        <w:rPr>
          <w:rFonts w:ascii="Calibri" w:hAnsi="Calibri" w:cs="Calibri"/>
        </w:rPr>
        <w:t xml:space="preserve"> к настоящему письму.</w:t>
      </w:r>
    </w:p>
    <w:p w:rsidR="00185A93" w:rsidRDefault="00185A93">
      <w:pPr>
        <w:widowControl w:val="0"/>
        <w:autoSpaceDE w:val="0"/>
        <w:autoSpaceDN w:val="0"/>
        <w:adjustRightInd w:val="0"/>
        <w:spacing w:after="0" w:line="240" w:lineRule="auto"/>
        <w:jc w:val="center"/>
        <w:rPr>
          <w:rFonts w:ascii="Calibri" w:hAnsi="Calibri" w:cs="Calibri"/>
        </w:rPr>
      </w:pPr>
    </w:p>
    <w:p w:rsidR="00185A93" w:rsidRDefault="00185A93">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 финансов</w:t>
      </w:r>
    </w:p>
    <w:p w:rsidR="00185A93" w:rsidRDefault="00185A9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85A93" w:rsidRDefault="00185A93">
      <w:pPr>
        <w:widowControl w:val="0"/>
        <w:autoSpaceDE w:val="0"/>
        <w:autoSpaceDN w:val="0"/>
        <w:adjustRightInd w:val="0"/>
        <w:spacing w:after="0" w:line="240" w:lineRule="auto"/>
        <w:jc w:val="right"/>
        <w:rPr>
          <w:rFonts w:ascii="Calibri" w:hAnsi="Calibri" w:cs="Calibri"/>
        </w:rPr>
      </w:pPr>
      <w:r>
        <w:rPr>
          <w:rFonts w:ascii="Calibri" w:hAnsi="Calibri" w:cs="Calibri"/>
        </w:rPr>
        <w:t>А.М.ЛАВРОВ</w:t>
      </w:r>
    </w:p>
    <w:p w:rsidR="00185A93" w:rsidRDefault="00185A93">
      <w:pPr>
        <w:widowControl w:val="0"/>
        <w:autoSpaceDE w:val="0"/>
        <w:autoSpaceDN w:val="0"/>
        <w:adjustRightInd w:val="0"/>
        <w:spacing w:after="0" w:line="240" w:lineRule="auto"/>
        <w:jc w:val="right"/>
        <w:rPr>
          <w:rFonts w:ascii="Calibri" w:hAnsi="Calibri" w:cs="Calibri"/>
        </w:rPr>
      </w:pPr>
    </w:p>
    <w:p w:rsidR="00185A93" w:rsidRDefault="00185A93">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 Федерального казначейства</w:t>
      </w:r>
    </w:p>
    <w:p w:rsidR="00185A93" w:rsidRDefault="00185A93">
      <w:pPr>
        <w:widowControl w:val="0"/>
        <w:autoSpaceDE w:val="0"/>
        <w:autoSpaceDN w:val="0"/>
        <w:adjustRightInd w:val="0"/>
        <w:spacing w:after="0" w:line="240" w:lineRule="auto"/>
        <w:jc w:val="right"/>
        <w:rPr>
          <w:rFonts w:ascii="Calibri" w:hAnsi="Calibri" w:cs="Calibri"/>
        </w:rPr>
      </w:pPr>
      <w:r>
        <w:rPr>
          <w:rFonts w:ascii="Calibri" w:hAnsi="Calibri" w:cs="Calibri"/>
        </w:rPr>
        <w:t>Р.Е.АРТЮХИН</w:t>
      </w:r>
    </w:p>
    <w:p w:rsidR="00185A93" w:rsidRDefault="00185A93">
      <w:pPr>
        <w:widowControl w:val="0"/>
        <w:autoSpaceDE w:val="0"/>
        <w:autoSpaceDN w:val="0"/>
        <w:adjustRightInd w:val="0"/>
        <w:spacing w:after="0" w:line="240" w:lineRule="auto"/>
        <w:ind w:firstLine="540"/>
        <w:jc w:val="both"/>
        <w:rPr>
          <w:rFonts w:ascii="Calibri" w:hAnsi="Calibri" w:cs="Calibri"/>
        </w:rPr>
      </w:pPr>
    </w:p>
    <w:p w:rsidR="00185A93" w:rsidRDefault="00185A93">
      <w:pPr>
        <w:widowControl w:val="0"/>
        <w:autoSpaceDE w:val="0"/>
        <w:autoSpaceDN w:val="0"/>
        <w:adjustRightInd w:val="0"/>
        <w:spacing w:after="0" w:line="240" w:lineRule="auto"/>
        <w:ind w:firstLine="540"/>
        <w:jc w:val="both"/>
        <w:rPr>
          <w:rFonts w:ascii="Calibri" w:hAnsi="Calibri" w:cs="Calibri"/>
        </w:rPr>
      </w:pPr>
    </w:p>
    <w:p w:rsidR="00185A93" w:rsidRDefault="00185A93">
      <w:pPr>
        <w:widowControl w:val="0"/>
        <w:autoSpaceDE w:val="0"/>
        <w:autoSpaceDN w:val="0"/>
        <w:adjustRightInd w:val="0"/>
        <w:spacing w:after="0" w:line="240" w:lineRule="auto"/>
        <w:ind w:firstLine="540"/>
        <w:jc w:val="both"/>
        <w:rPr>
          <w:rFonts w:ascii="Calibri" w:hAnsi="Calibri" w:cs="Calibri"/>
        </w:rPr>
      </w:pPr>
    </w:p>
    <w:p w:rsidR="00185A93" w:rsidRDefault="00185A93">
      <w:pPr>
        <w:widowControl w:val="0"/>
        <w:autoSpaceDE w:val="0"/>
        <w:autoSpaceDN w:val="0"/>
        <w:adjustRightInd w:val="0"/>
        <w:spacing w:after="0" w:line="240" w:lineRule="auto"/>
        <w:ind w:firstLine="540"/>
        <w:jc w:val="both"/>
        <w:rPr>
          <w:rFonts w:ascii="Calibri" w:hAnsi="Calibri" w:cs="Calibri"/>
        </w:rPr>
      </w:pPr>
    </w:p>
    <w:p w:rsidR="00185A93" w:rsidRDefault="00185A93">
      <w:pPr>
        <w:widowControl w:val="0"/>
        <w:autoSpaceDE w:val="0"/>
        <w:autoSpaceDN w:val="0"/>
        <w:adjustRightInd w:val="0"/>
        <w:spacing w:after="0" w:line="240" w:lineRule="auto"/>
        <w:ind w:firstLine="540"/>
        <w:jc w:val="both"/>
        <w:rPr>
          <w:rFonts w:ascii="Calibri" w:hAnsi="Calibri" w:cs="Calibri"/>
        </w:rPr>
      </w:pPr>
    </w:p>
    <w:p w:rsidR="00185A93" w:rsidRDefault="00185A93">
      <w:pPr>
        <w:widowControl w:val="0"/>
        <w:autoSpaceDE w:val="0"/>
        <w:autoSpaceDN w:val="0"/>
        <w:adjustRightInd w:val="0"/>
        <w:spacing w:after="0" w:line="240" w:lineRule="auto"/>
        <w:jc w:val="right"/>
        <w:outlineLvl w:val="0"/>
        <w:rPr>
          <w:rFonts w:ascii="Calibri" w:hAnsi="Calibri" w:cs="Calibri"/>
        </w:rPr>
      </w:pPr>
      <w:bookmarkStart w:id="6" w:name="Par51"/>
      <w:bookmarkEnd w:id="6"/>
      <w:r>
        <w:rPr>
          <w:rFonts w:ascii="Calibri" w:hAnsi="Calibri" w:cs="Calibri"/>
        </w:rPr>
        <w:t>Приложение</w:t>
      </w:r>
    </w:p>
    <w:p w:rsidR="00185A93" w:rsidRDefault="00185A93">
      <w:pPr>
        <w:widowControl w:val="0"/>
        <w:autoSpaceDE w:val="0"/>
        <w:autoSpaceDN w:val="0"/>
        <w:adjustRightInd w:val="0"/>
        <w:spacing w:after="0" w:line="240" w:lineRule="auto"/>
        <w:jc w:val="right"/>
        <w:rPr>
          <w:rFonts w:ascii="Calibri" w:hAnsi="Calibri" w:cs="Calibri"/>
        </w:rPr>
      </w:pPr>
      <w:r>
        <w:rPr>
          <w:rFonts w:ascii="Calibri" w:hAnsi="Calibri" w:cs="Calibri"/>
        </w:rPr>
        <w:t>к совместному письму Министерства</w:t>
      </w:r>
    </w:p>
    <w:p w:rsidR="00185A93" w:rsidRDefault="00185A9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 Российской Федерации</w:t>
      </w:r>
    </w:p>
    <w:p w:rsidR="00185A93" w:rsidRDefault="00185A93">
      <w:pPr>
        <w:widowControl w:val="0"/>
        <w:autoSpaceDE w:val="0"/>
        <w:autoSpaceDN w:val="0"/>
        <w:adjustRightInd w:val="0"/>
        <w:spacing w:after="0" w:line="240" w:lineRule="auto"/>
        <w:jc w:val="right"/>
        <w:rPr>
          <w:rFonts w:ascii="Calibri" w:hAnsi="Calibri" w:cs="Calibri"/>
        </w:rPr>
      </w:pPr>
      <w:r>
        <w:rPr>
          <w:rFonts w:ascii="Calibri" w:hAnsi="Calibri" w:cs="Calibri"/>
        </w:rPr>
        <w:t>и Федерального казначейства</w:t>
      </w:r>
    </w:p>
    <w:p w:rsidR="00185A93" w:rsidRDefault="00185A93">
      <w:pPr>
        <w:widowControl w:val="0"/>
        <w:autoSpaceDE w:val="0"/>
        <w:autoSpaceDN w:val="0"/>
        <w:adjustRightInd w:val="0"/>
        <w:spacing w:after="0" w:line="240" w:lineRule="auto"/>
        <w:jc w:val="right"/>
        <w:rPr>
          <w:rFonts w:ascii="Calibri" w:hAnsi="Calibri" w:cs="Calibri"/>
        </w:rPr>
      </w:pPr>
      <w:r>
        <w:rPr>
          <w:rFonts w:ascii="Calibri" w:hAnsi="Calibri" w:cs="Calibri"/>
        </w:rPr>
        <w:t>от 25 декабря 2014 г. N 02-02-04/67438,</w:t>
      </w:r>
    </w:p>
    <w:p w:rsidR="00185A93" w:rsidRDefault="00185A93">
      <w:pPr>
        <w:widowControl w:val="0"/>
        <w:autoSpaceDE w:val="0"/>
        <w:autoSpaceDN w:val="0"/>
        <w:adjustRightInd w:val="0"/>
        <w:spacing w:after="0" w:line="240" w:lineRule="auto"/>
        <w:jc w:val="right"/>
        <w:rPr>
          <w:rFonts w:ascii="Calibri" w:hAnsi="Calibri" w:cs="Calibri"/>
        </w:rPr>
      </w:pPr>
      <w:r>
        <w:rPr>
          <w:rFonts w:ascii="Calibri" w:hAnsi="Calibri" w:cs="Calibri"/>
        </w:rPr>
        <w:t>N 42-7.4-05/5.1-805</w:t>
      </w:r>
    </w:p>
    <w:p w:rsidR="00185A93" w:rsidRDefault="00185A93">
      <w:pPr>
        <w:widowControl w:val="0"/>
        <w:autoSpaceDE w:val="0"/>
        <w:autoSpaceDN w:val="0"/>
        <w:adjustRightInd w:val="0"/>
        <w:spacing w:after="0" w:line="240" w:lineRule="auto"/>
        <w:jc w:val="right"/>
        <w:rPr>
          <w:rFonts w:ascii="Calibri" w:hAnsi="Calibri" w:cs="Calibri"/>
        </w:rPr>
      </w:pPr>
    </w:p>
    <w:p w:rsidR="00185A93" w:rsidRDefault="00185A93">
      <w:pPr>
        <w:widowControl w:val="0"/>
        <w:autoSpaceDE w:val="0"/>
        <w:autoSpaceDN w:val="0"/>
        <w:adjustRightInd w:val="0"/>
        <w:spacing w:after="0" w:line="240" w:lineRule="auto"/>
        <w:jc w:val="center"/>
        <w:outlineLvl w:val="1"/>
        <w:rPr>
          <w:rFonts w:ascii="Calibri" w:hAnsi="Calibri" w:cs="Calibri"/>
        </w:rPr>
      </w:pPr>
      <w:bookmarkStart w:id="7" w:name="Par58"/>
      <w:bookmarkEnd w:id="7"/>
      <w:r>
        <w:rPr>
          <w:rFonts w:ascii="Calibri" w:hAnsi="Calibri" w:cs="Calibri"/>
        </w:rPr>
        <w:t>1. При заключении контрактов учреждениями - получателями</w:t>
      </w:r>
    </w:p>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бюджетных средств, администраторами доходов бюджета</w:t>
      </w:r>
    </w:p>
    <w:p w:rsidR="00185A93" w:rsidRDefault="00185A93">
      <w:pPr>
        <w:widowControl w:val="0"/>
        <w:autoSpaceDE w:val="0"/>
        <w:autoSpaceDN w:val="0"/>
        <w:adjustRightInd w:val="0"/>
        <w:spacing w:after="0" w:line="240" w:lineRule="auto"/>
        <w:jc w:val="center"/>
        <w:rPr>
          <w:rFonts w:ascii="Calibri" w:hAnsi="Calibri" w:cs="Calibri"/>
        </w:rPr>
        <w:sectPr w:rsidR="00185A93" w:rsidSect="00F27590">
          <w:pgSz w:w="11906" w:h="16838"/>
          <w:pgMar w:top="1134" w:right="850" w:bottom="1134" w:left="1701" w:header="708" w:footer="708" w:gutter="0"/>
          <w:cols w:space="708"/>
          <w:docGrid w:linePitch="360"/>
        </w:sectPr>
      </w:pPr>
    </w:p>
    <w:p w:rsidR="00185A93" w:rsidRDefault="00185A93">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5683"/>
        <w:gridCol w:w="1682"/>
        <w:gridCol w:w="1724"/>
      </w:tblGrid>
      <w:tr w:rsidR="00185A9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56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Содержание операции</w:t>
            </w:r>
          </w:p>
        </w:tc>
        <w:tc>
          <w:tcPr>
            <w:tcW w:w="340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Номер счета</w:t>
            </w:r>
          </w:p>
        </w:tc>
      </w:tr>
      <w:tr w:rsidR="00185A9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p>
        </w:tc>
        <w:tc>
          <w:tcPr>
            <w:tcW w:w="56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p>
        </w:tc>
        <w:tc>
          <w:tcPr>
            <w:tcW w:w="1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по дебету</w:t>
            </w:r>
          </w:p>
        </w:tc>
        <w:tc>
          <w:tcPr>
            <w:tcW w:w="1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по кредиту</w:t>
            </w:r>
          </w:p>
        </w:tc>
      </w:tr>
      <w:tr w:rsidR="00185A93">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85A9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683" w:type="dxa"/>
            <w:tcBorders>
              <w:top w:val="single" w:sz="4" w:space="0" w:color="auto"/>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Предъявлено требование в адрес поставщика (исполнителя):</w:t>
            </w:r>
          </w:p>
        </w:tc>
        <w:tc>
          <w:tcPr>
            <w:tcW w:w="1682" w:type="dxa"/>
            <w:tcBorders>
              <w:top w:val="single" w:sz="4" w:space="0" w:color="auto"/>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p>
        </w:tc>
        <w:tc>
          <w:tcPr>
            <w:tcW w:w="1724" w:type="dxa"/>
            <w:tcBorders>
              <w:top w:val="single" w:sz="4" w:space="0" w:color="auto"/>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p>
        </w:tc>
      </w:tr>
      <w:tr w:rsidR="00185A9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p>
        </w:tc>
        <w:tc>
          <w:tcPr>
            <w:tcW w:w="5683" w:type="dxa"/>
            <w:tcBorders>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 о возврате аванса на условиях государственного (муниципального) контракта</w:t>
            </w:r>
          </w:p>
        </w:tc>
        <w:tc>
          <w:tcPr>
            <w:tcW w:w="1682" w:type="dxa"/>
            <w:tcBorders>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1 209 30 560</w:t>
            </w:r>
          </w:p>
        </w:tc>
        <w:tc>
          <w:tcPr>
            <w:tcW w:w="1724" w:type="dxa"/>
            <w:tcBorders>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1 206 XX 660</w:t>
            </w:r>
          </w:p>
        </w:tc>
      </w:tr>
      <w:tr w:rsidR="00185A9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p>
        </w:tc>
        <w:tc>
          <w:tcPr>
            <w:tcW w:w="5683" w:type="dxa"/>
            <w:tcBorders>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 об уплате процентов за пользование чужими денежными средствами</w:t>
            </w:r>
          </w:p>
        </w:tc>
        <w:tc>
          <w:tcPr>
            <w:tcW w:w="1682" w:type="dxa"/>
            <w:tcBorders>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1 209 40 560</w:t>
            </w:r>
          </w:p>
        </w:tc>
        <w:tc>
          <w:tcPr>
            <w:tcW w:w="1724" w:type="dxa"/>
            <w:tcBorders>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1 401 10 140</w:t>
            </w:r>
          </w:p>
        </w:tc>
      </w:tr>
      <w:tr w:rsidR="00185A93">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Перечисление суммы удержанного обеспечения с лицевого счета для учета операций со средствами, поступающими во временное распоряжение получателя бюджетных средств, открытого государственному (муниципальному) заказчику - в доход бюджета</w:t>
            </w:r>
          </w:p>
        </w:tc>
        <w:tc>
          <w:tcPr>
            <w:tcW w:w="1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3 304 01 830</w:t>
            </w:r>
          </w:p>
        </w:tc>
        <w:tc>
          <w:tcPr>
            <w:tcW w:w="1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3 201 11 610</w:t>
            </w:r>
          </w:p>
        </w:tc>
      </w:tr>
      <w:tr w:rsidR="00185A9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683" w:type="dxa"/>
            <w:tcBorders>
              <w:top w:val="single" w:sz="4" w:space="0" w:color="auto"/>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Зачисление в доход бюджета суммы удержанного обеспечения, в размере перечисленного поставщику аванса.</w:t>
            </w:r>
          </w:p>
        </w:tc>
        <w:tc>
          <w:tcPr>
            <w:tcW w:w="1682" w:type="dxa"/>
            <w:tcBorders>
              <w:top w:val="single" w:sz="4" w:space="0" w:color="auto"/>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p>
        </w:tc>
        <w:tc>
          <w:tcPr>
            <w:tcW w:w="1724" w:type="dxa"/>
            <w:tcBorders>
              <w:top w:val="single" w:sz="4" w:space="0" w:color="auto"/>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p>
        </w:tc>
      </w:tr>
      <w:tr w:rsidR="00185A9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p>
        </w:tc>
        <w:tc>
          <w:tcPr>
            <w:tcW w:w="5683" w:type="dxa"/>
            <w:tcBorders>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 при исполнении требования о возврате аванса кредитной организацией по банковской гарантии, выданной поставщику, дополнительно отражается уменьшение суммы обеспечения обязательств на забалансовом счете 10 "Обеспечение исполнения обязательств":</w:t>
            </w:r>
          </w:p>
        </w:tc>
        <w:tc>
          <w:tcPr>
            <w:tcW w:w="1682" w:type="dxa"/>
            <w:tcBorders>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1 210 02 130</w:t>
            </w:r>
          </w:p>
        </w:tc>
        <w:tc>
          <w:tcPr>
            <w:tcW w:w="1724" w:type="dxa"/>
            <w:tcBorders>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1 209 30 660</w:t>
            </w:r>
          </w:p>
        </w:tc>
      </w:tr>
      <w:tr w:rsidR="00185A9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p>
        </w:tc>
        <w:tc>
          <w:tcPr>
            <w:tcW w:w="5683" w:type="dxa"/>
            <w:tcBorders>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 в части процентов за пользование чужими денежными средствами</w:t>
            </w:r>
          </w:p>
        </w:tc>
        <w:tc>
          <w:tcPr>
            <w:tcW w:w="1682" w:type="dxa"/>
            <w:tcBorders>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1 210 02 140</w:t>
            </w:r>
          </w:p>
        </w:tc>
        <w:tc>
          <w:tcPr>
            <w:tcW w:w="1724" w:type="dxa"/>
            <w:tcBorders>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1 209 40 660</w:t>
            </w:r>
          </w:p>
        </w:tc>
      </w:tr>
    </w:tbl>
    <w:p w:rsidR="00185A93" w:rsidRDefault="00185A93">
      <w:pPr>
        <w:widowControl w:val="0"/>
        <w:autoSpaceDE w:val="0"/>
        <w:autoSpaceDN w:val="0"/>
        <w:adjustRightInd w:val="0"/>
        <w:spacing w:after="0" w:line="240" w:lineRule="auto"/>
        <w:ind w:firstLine="540"/>
        <w:jc w:val="both"/>
        <w:rPr>
          <w:rFonts w:ascii="Calibri" w:hAnsi="Calibri" w:cs="Calibri"/>
        </w:rPr>
      </w:pPr>
    </w:p>
    <w:p w:rsidR="00185A93" w:rsidRDefault="00185A93">
      <w:pPr>
        <w:widowControl w:val="0"/>
        <w:autoSpaceDE w:val="0"/>
        <w:autoSpaceDN w:val="0"/>
        <w:adjustRightInd w:val="0"/>
        <w:spacing w:after="0" w:line="240" w:lineRule="auto"/>
        <w:jc w:val="center"/>
        <w:outlineLvl w:val="1"/>
        <w:rPr>
          <w:rFonts w:ascii="Calibri" w:hAnsi="Calibri" w:cs="Calibri"/>
        </w:rPr>
      </w:pPr>
      <w:bookmarkStart w:id="8" w:name="Par95"/>
      <w:bookmarkEnd w:id="8"/>
      <w:r>
        <w:rPr>
          <w:rFonts w:ascii="Calibri" w:hAnsi="Calibri" w:cs="Calibri"/>
        </w:rPr>
        <w:t>2. При заключении контрактов учреждениями -</w:t>
      </w:r>
    </w:p>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получателями субсидий</w:t>
      </w:r>
    </w:p>
    <w:p w:rsidR="00185A93" w:rsidRDefault="00185A93">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5697"/>
        <w:gridCol w:w="1694"/>
        <w:gridCol w:w="1722"/>
      </w:tblGrid>
      <w:tr w:rsidR="00185A93">
        <w:tc>
          <w:tcPr>
            <w:tcW w:w="5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56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Содержание операции</w:t>
            </w:r>
          </w:p>
        </w:tc>
        <w:tc>
          <w:tcPr>
            <w:tcW w:w="3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Номер счета</w:t>
            </w:r>
          </w:p>
        </w:tc>
      </w:tr>
      <w:tr w:rsidR="00185A93">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ind w:firstLine="540"/>
              <w:jc w:val="both"/>
              <w:rPr>
                <w:rFonts w:ascii="Calibri" w:hAnsi="Calibri" w:cs="Calibri"/>
              </w:rPr>
            </w:pPr>
          </w:p>
        </w:tc>
        <w:tc>
          <w:tcPr>
            <w:tcW w:w="56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ind w:firstLine="540"/>
              <w:jc w:val="both"/>
              <w:rPr>
                <w:rFonts w:ascii="Calibri" w:hAnsi="Calibri" w:cs="Calibri"/>
              </w:rPr>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по дебету</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по кредиту</w:t>
            </w:r>
          </w:p>
        </w:tc>
      </w:tr>
      <w:tr w:rsidR="00185A93">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85A93">
        <w:tc>
          <w:tcPr>
            <w:tcW w:w="5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697" w:type="dxa"/>
            <w:tcBorders>
              <w:top w:val="single" w:sz="4" w:space="0" w:color="auto"/>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Предъявлено требование в адрес поставщика (исполнителя):</w:t>
            </w:r>
          </w:p>
        </w:tc>
        <w:tc>
          <w:tcPr>
            <w:tcW w:w="1694" w:type="dxa"/>
            <w:tcBorders>
              <w:top w:val="single" w:sz="4" w:space="0" w:color="auto"/>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right"/>
              <w:rPr>
                <w:rFonts w:ascii="Calibri" w:hAnsi="Calibri" w:cs="Calibri"/>
              </w:rPr>
            </w:pPr>
          </w:p>
        </w:tc>
        <w:tc>
          <w:tcPr>
            <w:tcW w:w="1722" w:type="dxa"/>
            <w:tcBorders>
              <w:top w:val="single" w:sz="4" w:space="0" w:color="auto"/>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right"/>
              <w:rPr>
                <w:rFonts w:ascii="Calibri" w:hAnsi="Calibri" w:cs="Calibri"/>
              </w:rPr>
            </w:pPr>
          </w:p>
        </w:tc>
      </w:tr>
      <w:tr w:rsidR="00185A93">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ind w:firstLine="540"/>
              <w:jc w:val="both"/>
              <w:rPr>
                <w:rFonts w:ascii="Calibri" w:hAnsi="Calibri" w:cs="Calibri"/>
              </w:rPr>
            </w:pPr>
          </w:p>
        </w:tc>
        <w:tc>
          <w:tcPr>
            <w:tcW w:w="5697" w:type="dxa"/>
            <w:tcBorders>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 о возврате аванса на условиях государственного (муниципального) контракта</w:t>
            </w:r>
          </w:p>
        </w:tc>
        <w:tc>
          <w:tcPr>
            <w:tcW w:w="1694" w:type="dxa"/>
            <w:tcBorders>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0 209 30 560</w:t>
            </w:r>
          </w:p>
        </w:tc>
        <w:tc>
          <w:tcPr>
            <w:tcW w:w="1722" w:type="dxa"/>
            <w:tcBorders>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0 206 XX 660</w:t>
            </w:r>
          </w:p>
        </w:tc>
      </w:tr>
      <w:tr w:rsidR="00185A93">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ind w:firstLine="540"/>
              <w:jc w:val="both"/>
              <w:rPr>
                <w:rFonts w:ascii="Calibri" w:hAnsi="Calibri" w:cs="Calibri"/>
              </w:rPr>
            </w:pPr>
          </w:p>
        </w:tc>
        <w:tc>
          <w:tcPr>
            <w:tcW w:w="5697" w:type="dxa"/>
            <w:tcBorders>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 об уплате процентов за пользование чужими денежными средствами</w:t>
            </w:r>
          </w:p>
        </w:tc>
        <w:tc>
          <w:tcPr>
            <w:tcW w:w="1694" w:type="dxa"/>
            <w:tcBorders>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2 209 40 560</w:t>
            </w:r>
          </w:p>
        </w:tc>
        <w:tc>
          <w:tcPr>
            <w:tcW w:w="1722" w:type="dxa"/>
            <w:tcBorders>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2 401 10 140</w:t>
            </w:r>
          </w:p>
        </w:tc>
      </w:tr>
      <w:tr w:rsidR="00185A93">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Удержание за счет сумм денежного залога (задатка), предоставленного в обеспечение исполнения контрактов (договоров) в сумме удовлетворения требования залогодержателя</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3 304 01 830</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3 304 06 730</w:t>
            </w:r>
          </w:p>
        </w:tc>
      </w:tr>
      <w:tr w:rsidR="00185A93">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Уменьшение дебиторской задолженности в размере сумм, удержанных за счет сумм денежного залога (задатка), предоставленного в обеспечение исполнения контрактов</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0 304 06 830</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0 209 30 660</w:t>
            </w:r>
          </w:p>
        </w:tc>
      </w:tr>
      <w:tr w:rsidR="00185A93">
        <w:tc>
          <w:tcPr>
            <w:tcW w:w="5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5697" w:type="dxa"/>
            <w:tcBorders>
              <w:top w:val="single" w:sz="4" w:space="0" w:color="auto"/>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Зачисление суммы, уплаченной кредитной организацией по банковской гарантии по требованию об осуществлении уплаты денежной суммы по банковской гарантии.</w:t>
            </w:r>
          </w:p>
        </w:tc>
        <w:tc>
          <w:tcPr>
            <w:tcW w:w="1694"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p>
        </w:tc>
        <w:tc>
          <w:tcPr>
            <w:tcW w:w="172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p>
        </w:tc>
      </w:tr>
      <w:tr w:rsidR="00185A93">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ind w:firstLine="540"/>
              <w:jc w:val="both"/>
              <w:rPr>
                <w:rFonts w:ascii="Calibri" w:hAnsi="Calibri" w:cs="Calibri"/>
              </w:rPr>
            </w:pPr>
          </w:p>
        </w:tc>
        <w:tc>
          <w:tcPr>
            <w:tcW w:w="5697" w:type="dxa"/>
            <w:tcBorders>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 в части исполнения требования о возврате аванса на условиях государственного (муниципального) контракта</w:t>
            </w:r>
          </w:p>
        </w:tc>
        <w:tc>
          <w:tcPr>
            <w:tcW w:w="1694" w:type="dxa"/>
            <w:tcBorders>
              <w:left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2 201 11 510</w:t>
            </w:r>
          </w:p>
        </w:tc>
        <w:tc>
          <w:tcPr>
            <w:tcW w:w="1722" w:type="dxa"/>
            <w:tcBorders>
              <w:left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2 209 30 660</w:t>
            </w:r>
          </w:p>
        </w:tc>
      </w:tr>
      <w:tr w:rsidR="00185A93">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ind w:firstLine="540"/>
              <w:jc w:val="both"/>
              <w:rPr>
                <w:rFonts w:ascii="Calibri" w:hAnsi="Calibri" w:cs="Calibri"/>
              </w:rPr>
            </w:pPr>
          </w:p>
        </w:tc>
        <w:tc>
          <w:tcPr>
            <w:tcW w:w="5697" w:type="dxa"/>
            <w:tcBorders>
              <w:left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 в части исполнения требования об уплате процентов за пользование чужими денежными средствами</w:t>
            </w:r>
          </w:p>
        </w:tc>
        <w:tc>
          <w:tcPr>
            <w:tcW w:w="1694" w:type="dxa"/>
            <w:tcBorders>
              <w:left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2 201 11 510</w:t>
            </w:r>
          </w:p>
        </w:tc>
        <w:tc>
          <w:tcPr>
            <w:tcW w:w="1722" w:type="dxa"/>
            <w:tcBorders>
              <w:left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2 209 40 660</w:t>
            </w:r>
          </w:p>
        </w:tc>
      </w:tr>
      <w:tr w:rsidR="00185A93">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ind w:firstLine="540"/>
              <w:jc w:val="both"/>
              <w:rPr>
                <w:rFonts w:ascii="Calibri" w:hAnsi="Calibri" w:cs="Calibri"/>
              </w:rPr>
            </w:pPr>
          </w:p>
        </w:tc>
        <w:tc>
          <w:tcPr>
            <w:tcW w:w="5697" w:type="dxa"/>
            <w:tcBorders>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Дополнительно отражается уменьшение суммы обеспечения обязательств на забалансовом счете 10 "Обеспечение исполнения обязательств"</w:t>
            </w:r>
          </w:p>
        </w:tc>
        <w:tc>
          <w:tcPr>
            <w:tcW w:w="1694" w:type="dxa"/>
            <w:tcBorders>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p>
        </w:tc>
        <w:tc>
          <w:tcPr>
            <w:tcW w:w="1722" w:type="dxa"/>
            <w:tcBorders>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center"/>
              <w:rPr>
                <w:rFonts w:ascii="Calibri" w:hAnsi="Calibri" w:cs="Calibri"/>
              </w:rPr>
            </w:pPr>
          </w:p>
        </w:tc>
      </w:tr>
      <w:tr w:rsidR="00185A93">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p>
        </w:tc>
        <w:tc>
          <w:tcPr>
            <w:tcW w:w="5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Перечисление суммы, поступившей от кредитной организации по требованию об осуществлении уплаты денежной суммы по банковской гарантии, в случае невозврата принципалом аванса, на лицевой счет, предназначенный для учета операций со средствами, предоставленными бюджетным и автономным учреждениям из соответствующих бюджетов бюджетной системы Российской Федерации в виде субсидий на иные цели, а также бюджетных инвестиций</w:t>
            </w:r>
            <w:proofErr w:type="gramEnd"/>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2 304 06 830</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2 201 11 610</w:t>
            </w:r>
          </w:p>
        </w:tc>
      </w:tr>
      <w:tr w:rsidR="00185A93">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5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A93" w:rsidRDefault="00185A93">
            <w:pPr>
              <w:widowControl w:val="0"/>
              <w:autoSpaceDE w:val="0"/>
              <w:autoSpaceDN w:val="0"/>
              <w:adjustRightInd w:val="0"/>
              <w:spacing w:after="0" w:line="240" w:lineRule="auto"/>
              <w:jc w:val="both"/>
              <w:rPr>
                <w:rFonts w:ascii="Calibri" w:hAnsi="Calibri" w:cs="Calibri"/>
              </w:rPr>
            </w:pPr>
            <w:r>
              <w:rPr>
                <w:rFonts w:ascii="Calibri" w:hAnsi="Calibri" w:cs="Calibri"/>
              </w:rPr>
              <w:t>Зачисление суммы удержанного обеспечения на лицевой счет, предназначенный для учета операций со средствами, предоставленными бюджетным и автономным учреждениям из соответствующих бюджетов бюджетной системы Российской Федерации в виде субсидий на иные цели, а также бюджетных инвестиций (в сумме ранее выплаченного аванса)</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5 201 11 510</w:t>
            </w:r>
          </w:p>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6 201 11 510</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5 206 XX 660</w:t>
            </w:r>
          </w:p>
          <w:p w:rsidR="00185A93" w:rsidRDefault="00185A93">
            <w:pPr>
              <w:widowControl w:val="0"/>
              <w:autoSpaceDE w:val="0"/>
              <w:autoSpaceDN w:val="0"/>
              <w:adjustRightInd w:val="0"/>
              <w:spacing w:after="0" w:line="240" w:lineRule="auto"/>
              <w:jc w:val="center"/>
              <w:rPr>
                <w:rFonts w:ascii="Calibri" w:hAnsi="Calibri" w:cs="Calibri"/>
              </w:rPr>
            </w:pPr>
            <w:r>
              <w:rPr>
                <w:rFonts w:ascii="Calibri" w:hAnsi="Calibri" w:cs="Calibri"/>
              </w:rPr>
              <w:t>5 206 XX 660</w:t>
            </w:r>
          </w:p>
        </w:tc>
      </w:tr>
    </w:tbl>
    <w:p w:rsidR="00185A93" w:rsidRDefault="00185A93">
      <w:pPr>
        <w:widowControl w:val="0"/>
        <w:autoSpaceDE w:val="0"/>
        <w:autoSpaceDN w:val="0"/>
        <w:adjustRightInd w:val="0"/>
        <w:spacing w:after="0" w:line="240" w:lineRule="auto"/>
        <w:ind w:firstLine="540"/>
        <w:jc w:val="both"/>
        <w:rPr>
          <w:rFonts w:ascii="Calibri" w:hAnsi="Calibri" w:cs="Calibri"/>
        </w:rPr>
      </w:pPr>
    </w:p>
    <w:p w:rsidR="00185A93" w:rsidRDefault="00185A93">
      <w:pPr>
        <w:widowControl w:val="0"/>
        <w:autoSpaceDE w:val="0"/>
        <w:autoSpaceDN w:val="0"/>
        <w:adjustRightInd w:val="0"/>
        <w:spacing w:after="0" w:line="240" w:lineRule="auto"/>
        <w:ind w:firstLine="540"/>
        <w:jc w:val="both"/>
        <w:rPr>
          <w:rFonts w:ascii="Calibri" w:hAnsi="Calibri" w:cs="Calibri"/>
        </w:rPr>
      </w:pPr>
    </w:p>
    <w:p w:rsidR="00185A93" w:rsidRDefault="00185A9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3EB1" w:rsidRDefault="001C3EB1">
      <w:bookmarkStart w:id="9" w:name="_GoBack"/>
      <w:bookmarkEnd w:id="9"/>
    </w:p>
    <w:sectPr w:rsidR="001C3EB1">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93"/>
    <w:rsid w:val="00185A93"/>
    <w:rsid w:val="001C3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CF882AD44F61CB78531C71F3BFD99A846894FF00093FD02292512BEfFkAF" TargetMode="External"/><Relationship Id="rId13" Type="http://schemas.openxmlformats.org/officeDocument/2006/relationships/hyperlink" Target="consultantplus://offline/ref=3D4CF882AD44F61CB78531C71F3BFD99A8478A4EF60493FD02292512BEFAB10893E0A8AED6B6fDk3F" TargetMode="External"/><Relationship Id="rId18" Type="http://schemas.openxmlformats.org/officeDocument/2006/relationships/hyperlink" Target="consultantplus://offline/ref=3D4CF882AD44F61CB78531C71F3BFD99A8468E4BF30A93FD02292512BEFAB10893E0A8ACD5fBk3F" TargetMode="External"/><Relationship Id="rId3" Type="http://schemas.openxmlformats.org/officeDocument/2006/relationships/settings" Target="settings.xml"/><Relationship Id="rId21" Type="http://schemas.openxmlformats.org/officeDocument/2006/relationships/hyperlink" Target="consultantplus://offline/ref=3D4CF882AD44F61CB78531C71F3BFD99A8478A41F00793FD02292512BEFAB10893E0A8ACD7B2D511f0k5F" TargetMode="External"/><Relationship Id="rId7" Type="http://schemas.openxmlformats.org/officeDocument/2006/relationships/hyperlink" Target="consultantplus://offline/ref=3D4CF882AD44F61CB78531C71F3BFD99A8478A4EF50493FD02292512BEFAB10893E0A8ACD7B2D014f0kFF" TargetMode="External"/><Relationship Id="rId12" Type="http://schemas.openxmlformats.org/officeDocument/2006/relationships/hyperlink" Target="consultantplus://offline/ref=3D4CF882AD44F61CB78531C71F3BFD99A8478A41F00793FD02292512BEFAB10893E0A8ACD7B2D511f0k5F" TargetMode="External"/><Relationship Id="rId17" Type="http://schemas.openxmlformats.org/officeDocument/2006/relationships/hyperlink" Target="consultantplus://offline/ref=3D4CF882AD44F61CB78531C71F3BFD99A8468E4BF30A93FD02292512BEFAB10893E0A8ACD5fBk2F"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D4CF882AD44F61CB78531C71F3BFD99A8468E4BF30A93FD02292512BEFAB10893E0A8ACD6fBkAF" TargetMode="External"/><Relationship Id="rId20" Type="http://schemas.openxmlformats.org/officeDocument/2006/relationships/hyperlink" Target="consultantplus://offline/ref=3D4CF882AD44F61CB78531C71F3BFD99A8478A41F00793FD02292512BEFAB10893E0A8ACD7B2D511f0k5F" TargetMode="External"/><Relationship Id="rId1" Type="http://schemas.openxmlformats.org/officeDocument/2006/relationships/styles" Target="styles.xml"/><Relationship Id="rId6" Type="http://schemas.openxmlformats.org/officeDocument/2006/relationships/hyperlink" Target="consultantplus://offline/ref=3D4CF882AD44F61CB78531C71F3BFD99A8478A4EF50493FD02292512BEFAB10893E0A8ACD7B3D614f0k1F" TargetMode="External"/><Relationship Id="rId11" Type="http://schemas.openxmlformats.org/officeDocument/2006/relationships/hyperlink" Target="consultantplus://offline/ref=3D4CF882AD44F61CB78531C71F3BFD99A8408D4BF30293FD02292512BEFAB10893E0A8ACD7B2D510f0kEF"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3D4CF882AD44F61CB78531C71F3BFD99A8468E4BF30A93FD02292512BEFAB10893E0A8A5fDk4F" TargetMode="External"/><Relationship Id="rId23" Type="http://schemas.openxmlformats.org/officeDocument/2006/relationships/hyperlink" Target="consultantplus://offline/ref=3D4CF882AD44F61CB78531C71F3BFD99A8478A4EF60493FD02292512BEFAB10893E0A8ACD7B1D118f0k4F" TargetMode="External"/><Relationship Id="rId10" Type="http://schemas.openxmlformats.org/officeDocument/2006/relationships/hyperlink" Target="consultantplus://offline/ref=3D4CF882AD44F61CB7853CD40A3BFD99AB408D4FF70A93FD02292512BEfFkAF" TargetMode="External"/><Relationship Id="rId19" Type="http://schemas.openxmlformats.org/officeDocument/2006/relationships/hyperlink" Target="consultantplus://offline/ref=3D4CF882AD44F61CB78531C71F3BFD99A8478A41F00793FD02292512BEFAB10893E0A8ACD7B2D511f0k5F" TargetMode="External"/><Relationship Id="rId4" Type="http://schemas.openxmlformats.org/officeDocument/2006/relationships/webSettings" Target="webSettings.xml"/><Relationship Id="rId9" Type="http://schemas.openxmlformats.org/officeDocument/2006/relationships/hyperlink" Target="consultantplus://offline/ref=3D4CF882AD44F61CB78531C71F3BFD99A846894FF00093FD02292512BEFAB10893E0A8ACD7B3D017f0k6F" TargetMode="External"/><Relationship Id="rId14" Type="http://schemas.openxmlformats.org/officeDocument/2006/relationships/hyperlink" Target="consultantplus://offline/ref=3D4CF882AD44F61CB78531C71F3BFD99A8478A4EF60493FD02292512BEFAB10893E0A8ACD7B1D113f0k5F" TargetMode="External"/><Relationship Id="rId22" Type="http://schemas.openxmlformats.org/officeDocument/2006/relationships/hyperlink" Target="consultantplus://offline/ref=3D4CF882AD44F61CB78531C71F3BFD99A8478A4EF60493FD02292512BEFAB10893E0A8AFD1B0fDk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2750</Words>
  <Characters>15678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2014-12-30T05:36:00Z</dcterms:created>
  <dcterms:modified xsi:type="dcterms:W3CDTF">2014-12-30T05:39:00Z</dcterms:modified>
</cp:coreProperties>
</file>